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225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1F2824" w:rsidTr="001F282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24" w:rsidRDefault="001F2824" w:rsidP="001F2824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 xml:space="preserve">2.4. Projekta realizēšanai iespējami nepieciešamais finansējums </w:t>
            </w:r>
            <w:r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1F2824" w:rsidTr="001F282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24" w:rsidRDefault="001F2824" w:rsidP="001F2824">
            <w:pPr>
              <w:numPr>
                <w:ilvl w:val="0"/>
                <w:numId w:val="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1283"/>
              <w:gridCol w:w="1405"/>
              <w:gridCol w:w="1402"/>
              <w:gridCol w:w="2359"/>
            </w:tblGrid>
            <w:tr w:rsidR="001F2824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1F2824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Bruģēts</w:t>
                  </w:r>
                  <w:r>
                    <w:rPr>
                      <w:i/>
                      <w:lang w:val="lv-LV" w:eastAsia="lv-LV"/>
                    </w:rPr>
                    <w:t xml:space="preserve"> </w:t>
                  </w:r>
                  <w:r>
                    <w:rPr>
                      <w:i/>
                      <w:lang w:val="lv-LV" w:eastAsia="lv-LV"/>
                    </w:rPr>
                    <w:t>laukums,</w:t>
                  </w:r>
                  <w:r>
                    <w:rPr>
                      <w:i/>
                      <w:lang w:val="lv-LV" w:eastAsia="lv-LV"/>
                    </w:rPr>
                    <w:t xml:space="preserve"> </w:t>
                  </w:r>
                  <w:r>
                    <w:rPr>
                      <w:i/>
                      <w:lang w:val="lv-LV" w:eastAsia="lv-LV"/>
                    </w:rPr>
                    <w:t>stāvlaukums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40EUR/m2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150 m2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6000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1F2824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 xml:space="preserve">Mākslīgā zālāja/gumijas </w:t>
                  </w:r>
                </w:p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laukums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40EUR/m2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350m2</w:t>
                  </w:r>
                </w:p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14000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1F2824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1F2824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1F2824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1F2824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1F2824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20000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824" w:rsidRDefault="001F2824" w:rsidP="001F2824">
                  <w:pPr>
                    <w:framePr w:hSpace="180" w:wrap="around" w:hAnchor="margin" w:xAlign="center" w:y="225"/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</w:tbl>
          <w:p w:rsidR="001F2824" w:rsidRDefault="001F2824" w:rsidP="001F2824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1F2824" w:rsidRDefault="001F2824" w:rsidP="001F2824">
            <w:pPr>
              <w:numPr>
                <w:ilvl w:val="0"/>
                <w:numId w:val="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>Ikgadējās uzturēšanas izmaksas (ja paredzamas) - _____ EUR</w:t>
            </w:r>
          </w:p>
          <w:p w:rsidR="001F2824" w:rsidRDefault="001F2824" w:rsidP="001F2824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F21E04" w:rsidRDefault="00F21E04"/>
    <w:sectPr w:rsidR="00F21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24"/>
    <w:rsid w:val="001F2824"/>
    <w:rsid w:val="00F2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E4495"/>
  <w15:chartTrackingRefBased/>
  <w15:docId w15:val="{B2B471CB-5DBC-4CFD-886C-A2C13D6D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</Characters>
  <Application>Microsoft Office Word</Application>
  <DocSecurity>0</DocSecurity>
  <Lines>1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2020-09-21T07:17:00Z</dcterms:created>
  <dcterms:modified xsi:type="dcterms:W3CDTF">2020-09-21T07:17:00Z</dcterms:modified>
</cp:coreProperties>
</file>